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color w:val="0F1115"/>
          <w:sz w:val="28"/>
          <w:szCs w:val="28"/>
        </w:rPr>
      </w:pPr>
      <w:r>
        <w:rPr>
          <w:rStyle w:val="a3"/>
          <w:color w:val="0F1115"/>
          <w:sz w:val="28"/>
          <w:szCs w:val="28"/>
        </w:rPr>
        <w:t xml:space="preserve">    </w:t>
      </w:r>
      <w:r w:rsidRPr="00BF0B4F">
        <w:rPr>
          <w:rStyle w:val="a3"/>
          <w:color w:val="0F1115"/>
          <w:sz w:val="28"/>
          <w:szCs w:val="28"/>
        </w:rPr>
        <w:t>АНАЛИТИЧЕСКАЯ СПРАВКА</w:t>
      </w:r>
      <w:r w:rsidRPr="00BF0B4F">
        <w:rPr>
          <w:color w:val="0F1115"/>
          <w:sz w:val="28"/>
          <w:szCs w:val="28"/>
        </w:rPr>
        <w:br/>
      </w:r>
      <w:r w:rsidRPr="00BF0B4F">
        <w:rPr>
          <w:rStyle w:val="a3"/>
          <w:color w:val="0F1115"/>
          <w:sz w:val="28"/>
          <w:szCs w:val="28"/>
        </w:rPr>
        <w:t xml:space="preserve">о деятельности антитеррористической комиссии сельского поселения </w:t>
      </w:r>
      <w:proofErr w:type="spellStart"/>
      <w:r w:rsidRPr="00BF0B4F">
        <w:rPr>
          <w:rStyle w:val="a3"/>
          <w:color w:val="0F1115"/>
          <w:sz w:val="28"/>
          <w:szCs w:val="28"/>
        </w:rPr>
        <w:t>Сармаково</w:t>
      </w:r>
      <w:proofErr w:type="spellEnd"/>
      <w:r w:rsidRPr="00BF0B4F">
        <w:rPr>
          <w:rStyle w:val="a3"/>
          <w:color w:val="0F1115"/>
          <w:sz w:val="28"/>
          <w:szCs w:val="28"/>
        </w:rPr>
        <w:t xml:space="preserve"> за 2025 год</w:t>
      </w:r>
    </w:p>
    <w:p w:rsid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3"/>
          <w:color w:val="0F1115"/>
          <w:sz w:val="28"/>
          <w:szCs w:val="28"/>
        </w:rPr>
      </w:pP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  <w:bookmarkStart w:id="0" w:name="_GoBack"/>
      <w:bookmarkEnd w:id="0"/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 xml:space="preserve">Настоящая аналитическая справка подготовлена на основе отчетов о деятельности антитеррористической комиссии (далее – АТК) сельского поселения </w:t>
      </w:r>
      <w:proofErr w:type="spellStart"/>
      <w:r w:rsidRPr="00BF0B4F">
        <w:rPr>
          <w:color w:val="0F1115"/>
          <w:sz w:val="28"/>
          <w:szCs w:val="28"/>
        </w:rPr>
        <w:t>Сармаково</w:t>
      </w:r>
      <w:proofErr w:type="spellEnd"/>
      <w:r w:rsidRPr="00BF0B4F">
        <w:rPr>
          <w:color w:val="0F1115"/>
          <w:sz w:val="28"/>
          <w:szCs w:val="28"/>
        </w:rPr>
        <w:t>, протоколов заседаний комиссии, а также информации, предоставленной членами комиссии и взаимодействующими органами, в соответствии с Федеральным законом от 06.03.2006 № 35-ФЗ «О противодействии терроризму» и иными нормативно-правовыми актами.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Цель подготовки справки – подведение итогов работы АТК за 2025 год, анализ эффективности принятых мер и определение задач на 2026 год.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 xml:space="preserve">В течение 2025 года социальная и общественно-политическая обстановка на территории сельского поселения </w:t>
      </w:r>
      <w:proofErr w:type="spellStart"/>
      <w:r w:rsidRPr="00BF0B4F">
        <w:rPr>
          <w:color w:val="0F1115"/>
          <w:sz w:val="28"/>
          <w:szCs w:val="28"/>
        </w:rPr>
        <w:t>Сармаково</w:t>
      </w:r>
      <w:proofErr w:type="spellEnd"/>
      <w:r w:rsidRPr="00BF0B4F">
        <w:rPr>
          <w:color w:val="0F1115"/>
          <w:sz w:val="28"/>
          <w:szCs w:val="28"/>
        </w:rPr>
        <w:t xml:space="preserve"> оценивалась как стабильная, управляемая и контролируемая.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Актов террористической направленности, а также преступлений террористического характера на территории поселения не зафиксировано.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Конфликтов на межнациональной или межрелигиозной почве не выявлено. Тенденций к их возникновению не наблюдалось. Работа по предупреждению подобных конфликтов велась во взаимодействии с Советом старейшин и религиозными деятелями поселения.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Проведено 4 заседания комиссии (по квартальным планам). Рассмотрены вопросы организации антитеррористической защиты объектов, результаты мониторинга обстановки, утвержден План работы на 2025 год.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Состав комиссии актуализирован, назначены ответственные за реализацию мероприятий Плана работы.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Обеспечено взаимодействие с правоохранительными органами (отделение полиции), учреждениями образования, культуры и здравоохранения.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Проводились регулярные рейды по проверке жилого фонда и мест массового пребывания граждан на предмет выявления признаков экстремизма и конфликтных ситуаций.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Организована профилактическая работа с молодежью, включая беседы в образовательных учреждениях. Проводились рейды по неблагополучным семьям с целью профилактики вовлечения несовершеннолетних в деструктивную деятельность.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мониторинг сети Интернет на предмет выявления экстремистских материалов (в рамках компетенции администрации).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Проведены комиссионные обследования подвальных и чердачных помещений многоквартирных жилых домов (в соответствии с п. 3.1 Плана работы). По результатам обследований выданы предписания об устранении недостатков (закрытие дверей, установка решеток), большинство предписаний исполнено.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Осуществлены проверки антитеррористической защищенности объектов образования (школы) в преддверии начала учебного года и в День знаний.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lastRenderedPageBreak/>
        <w:t>Обеспечена безопасность в период подготовки и проведения массовых мероприятий (Пасха, 9 Мая, Новый год): организованы дежурства, проводились осмотры территорий.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Проведены инструктажи с персоналом социальных учреждений и объектов с массовым пребыванием людей об усилении бдительности и порядке действий при угрозе террористического акта.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На официальном сайте администрации сельского поселения и на информационных стендах размещались памятки и листовки антитеррористической направленности (о порядке действий при обнаружении подозрительных предметов, при угрозе теракта).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Проводились разъяснительные беседы с населением о сущности терроризма и экстремизма, мерах повышенной бдительности.</w:t>
      </w:r>
    </w:p>
    <w:p w:rsid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 xml:space="preserve">В 2025 году мероприятия по профилактике терроризма и экстремизма реализовывались в рамках муниципальной программы (в случае наличия) в пределах утвержденных бюджетных ассигнований. Финансирование расходов на проведение отдельных мероприятий (изготовление памяток, организационные расходы) осуществлялось за счет </w:t>
      </w:r>
      <w:r>
        <w:rPr>
          <w:color w:val="0F1115"/>
          <w:sz w:val="28"/>
          <w:szCs w:val="28"/>
        </w:rPr>
        <w:t>внебюджетных спонсорских средств.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rStyle w:val="a3"/>
          <w:color w:val="0F1115"/>
          <w:sz w:val="28"/>
          <w:szCs w:val="28"/>
        </w:rPr>
        <w:t>Основные проблемы и недостатки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недостаточное финансирование на установку систем видеонаблюдения; низкая активность населения в вопросах сообщения о подозрительных фактах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rStyle w:val="a3"/>
          <w:color w:val="0F1115"/>
          <w:sz w:val="28"/>
          <w:szCs w:val="28"/>
        </w:rPr>
        <w:t>6. Выводы и предложения по совершенствованию работы</w:t>
      </w:r>
    </w:p>
    <w:p w:rsidR="00BF0B4F" w:rsidRPr="00BF0B4F" w:rsidRDefault="00BF0B4F" w:rsidP="00BF0B4F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 xml:space="preserve">Деятельность АТК </w:t>
      </w:r>
      <w:proofErr w:type="spellStart"/>
      <w:r w:rsidRPr="00BF0B4F">
        <w:rPr>
          <w:color w:val="0F1115"/>
          <w:sz w:val="28"/>
          <w:szCs w:val="28"/>
        </w:rPr>
        <w:t>с.п</w:t>
      </w:r>
      <w:proofErr w:type="spellEnd"/>
      <w:r w:rsidRPr="00BF0B4F">
        <w:rPr>
          <w:color w:val="0F1115"/>
          <w:sz w:val="28"/>
          <w:szCs w:val="28"/>
        </w:rPr>
        <w:t xml:space="preserve">. </w:t>
      </w:r>
      <w:proofErr w:type="spellStart"/>
      <w:r w:rsidRPr="00BF0B4F">
        <w:rPr>
          <w:color w:val="0F1115"/>
          <w:sz w:val="28"/>
          <w:szCs w:val="28"/>
        </w:rPr>
        <w:t>Сармаково</w:t>
      </w:r>
      <w:proofErr w:type="spellEnd"/>
      <w:r w:rsidRPr="00BF0B4F">
        <w:rPr>
          <w:color w:val="0F1115"/>
          <w:sz w:val="28"/>
          <w:szCs w:val="28"/>
        </w:rPr>
        <w:t xml:space="preserve"> в 2025 году признать удовлетворительной.</w:t>
      </w:r>
    </w:p>
    <w:p w:rsidR="00BF0B4F" w:rsidRPr="00BF0B4F" w:rsidRDefault="00BF0B4F" w:rsidP="00BF0B4F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Сохранить стабильный характер общественно-политической обстановки на территории поселения.</w:t>
      </w:r>
    </w:p>
    <w:p w:rsidR="00BF0B4F" w:rsidRPr="00BF0B4F" w:rsidRDefault="00BF0B4F" w:rsidP="00BF0B4F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Продолжить реализацию мероприятий, направленных на: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усиление работы с молодежью по профилактике экстремизма;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обеспечение антитеррористической защищенности объектов образования и мест массового пребывания людей;</w:t>
      </w:r>
    </w:p>
    <w:p w:rsidR="00BF0B4F" w:rsidRP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активизацию информационно-разъяснительной работы с населением.</w:t>
      </w:r>
    </w:p>
    <w:p w:rsidR="00BF0B4F" w:rsidRPr="00BF0B4F" w:rsidRDefault="00BF0B4F" w:rsidP="00BF0B4F">
      <w:pPr>
        <w:pStyle w:val="ds-markdown-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BF0B4F">
        <w:rPr>
          <w:color w:val="0F1115"/>
          <w:sz w:val="28"/>
          <w:szCs w:val="28"/>
        </w:rPr>
        <w:t>Утвердить План работы АТК на 2026 год с учетом выявленных направлений для совершенствования.</w:t>
      </w:r>
    </w:p>
    <w:p w:rsidR="00BF0B4F" w:rsidRDefault="00BF0B4F" w:rsidP="00BF0B4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3"/>
          <w:color w:val="0F1115"/>
          <w:sz w:val="28"/>
          <w:szCs w:val="28"/>
        </w:rPr>
      </w:pPr>
    </w:p>
    <w:p w:rsidR="00BF0B4F" w:rsidRDefault="00BF0B4F" w:rsidP="00BF0B4F">
      <w:pPr>
        <w:pStyle w:val="ds-markdown-paragraph"/>
        <w:shd w:val="clear" w:color="auto" w:fill="FFFFFF"/>
        <w:spacing w:before="240" w:beforeAutospacing="0"/>
        <w:jc w:val="both"/>
        <w:rPr>
          <w:rStyle w:val="a3"/>
          <w:color w:val="0F1115"/>
          <w:sz w:val="28"/>
          <w:szCs w:val="28"/>
        </w:rPr>
      </w:pPr>
    </w:p>
    <w:p w:rsidR="00BF0B4F" w:rsidRDefault="00BF0B4F" w:rsidP="00BF0B4F">
      <w:pPr>
        <w:pStyle w:val="ds-markdown-paragraph"/>
        <w:shd w:val="clear" w:color="auto" w:fill="FFFFFF"/>
        <w:spacing w:before="240" w:beforeAutospacing="0"/>
        <w:jc w:val="both"/>
        <w:rPr>
          <w:color w:val="0F1115"/>
          <w:sz w:val="28"/>
          <w:szCs w:val="28"/>
        </w:rPr>
      </w:pPr>
      <w:r w:rsidRPr="00BF0B4F">
        <w:rPr>
          <w:rStyle w:val="a3"/>
          <w:color w:val="0F1115"/>
          <w:sz w:val="28"/>
          <w:szCs w:val="28"/>
        </w:rPr>
        <w:t>Секретарь комиссии</w:t>
      </w:r>
      <w:r w:rsidRPr="00BF0B4F">
        <w:rPr>
          <w:color w:val="0F1115"/>
          <w:sz w:val="28"/>
          <w:szCs w:val="28"/>
        </w:rPr>
        <w:t xml:space="preserve"> ______________ </w:t>
      </w:r>
      <w:r>
        <w:rPr>
          <w:color w:val="0F1115"/>
          <w:sz w:val="28"/>
          <w:szCs w:val="28"/>
        </w:rPr>
        <w:t xml:space="preserve">       </w:t>
      </w:r>
      <w:proofErr w:type="spellStart"/>
      <w:r>
        <w:rPr>
          <w:color w:val="0F1115"/>
          <w:sz w:val="28"/>
          <w:szCs w:val="28"/>
        </w:rPr>
        <w:t>М.Л.Цеева</w:t>
      </w:r>
      <w:proofErr w:type="spellEnd"/>
    </w:p>
    <w:p w:rsidR="00BF0B4F" w:rsidRDefault="00BF0B4F" w:rsidP="00BF0B4F">
      <w:pPr>
        <w:pStyle w:val="ds-markdown-paragraph"/>
        <w:shd w:val="clear" w:color="auto" w:fill="FFFFFF"/>
        <w:spacing w:before="240" w:before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27 февраля 2026 года</w:t>
      </w:r>
      <w:r>
        <w:rPr>
          <w:rFonts w:ascii="Segoe UI" w:hAnsi="Segoe UI" w:cs="Segoe UI"/>
          <w:color w:val="0F1115"/>
        </w:rPr>
        <w:t xml:space="preserve"> г.</w:t>
      </w:r>
    </w:p>
    <w:p w:rsidR="00FD0227" w:rsidRDefault="00BF0B4F"/>
    <w:sectPr w:rsidR="00FD0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97E54"/>
    <w:multiLevelType w:val="multilevel"/>
    <w:tmpl w:val="5DC26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31BC1"/>
    <w:multiLevelType w:val="multilevel"/>
    <w:tmpl w:val="F00E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64A69"/>
    <w:multiLevelType w:val="multilevel"/>
    <w:tmpl w:val="C6D0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47738"/>
    <w:multiLevelType w:val="multilevel"/>
    <w:tmpl w:val="DFB4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E5F49"/>
    <w:multiLevelType w:val="multilevel"/>
    <w:tmpl w:val="9702C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7552FF"/>
    <w:multiLevelType w:val="multilevel"/>
    <w:tmpl w:val="7D5C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5734E6"/>
    <w:multiLevelType w:val="multilevel"/>
    <w:tmpl w:val="31F8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4F"/>
    <w:rsid w:val="00230FC7"/>
    <w:rsid w:val="007F2600"/>
    <w:rsid w:val="00BF0B4F"/>
    <w:rsid w:val="00C9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9173D"/>
  <w15:chartTrackingRefBased/>
  <w15:docId w15:val="{D61B6ABF-DC9B-49BE-8AD6-4797E3D9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BF0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F0B4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F0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0B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6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2026-06-18T09:30:00Z</cp:lastPrinted>
  <dcterms:created xsi:type="dcterms:W3CDTF">2026-06-18T09:25:00Z</dcterms:created>
  <dcterms:modified xsi:type="dcterms:W3CDTF">2026-06-18T09:31:00Z</dcterms:modified>
</cp:coreProperties>
</file>